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30" w:rsidRPr="001D6330" w:rsidRDefault="001D6330" w:rsidP="001D6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330">
        <w:rPr>
          <w:rFonts w:ascii="Times New Roman" w:eastAsia="Calibri" w:hAnsi="Times New Roman" w:cs="Times New Roman"/>
          <w:sz w:val="24"/>
          <w:szCs w:val="24"/>
        </w:rPr>
        <w:t>В условиях ограниченных возможностей бюджета особую актуальность приобретает сотрудничество муниципальных органов с частным бизнесом в форме муниципально-частного партнерства (далее – МЧП) или концессии.</w:t>
      </w:r>
    </w:p>
    <w:p w:rsidR="001D6330" w:rsidRPr="001D6330" w:rsidRDefault="001D6330" w:rsidP="001D6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330">
        <w:rPr>
          <w:rFonts w:ascii="Times New Roman" w:eastAsia="Calibri" w:hAnsi="Times New Roman" w:cs="Times New Roman"/>
          <w:sz w:val="24"/>
          <w:szCs w:val="24"/>
        </w:rPr>
        <w:t xml:space="preserve">Для частной стороны это дает возможность получения земельного участка, лесного участка, водного участка без торгов для целей реализации соглашения о МЧП и концессии, </w:t>
      </w:r>
      <w:proofErr w:type="spellStart"/>
      <w:r w:rsidRPr="001D6330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1D6330">
        <w:rPr>
          <w:rFonts w:ascii="Times New Roman" w:eastAsia="Calibri" w:hAnsi="Times New Roman" w:cs="Times New Roman"/>
          <w:sz w:val="24"/>
          <w:szCs w:val="24"/>
        </w:rPr>
        <w:t xml:space="preserve"> проекта публичной стороной, получения дополнительных гарантий (в т. ч. минимальной доходности), закрепления в сферах деятельности, традиционно занимаемых государством.</w:t>
      </w:r>
    </w:p>
    <w:p w:rsidR="001D6330" w:rsidRPr="001D6330" w:rsidRDefault="001D6330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330">
        <w:rPr>
          <w:rFonts w:ascii="Times New Roman" w:eastAsia="Calibri" w:hAnsi="Times New Roman" w:cs="Times New Roman"/>
          <w:sz w:val="24"/>
          <w:szCs w:val="24"/>
        </w:rPr>
        <w:tab/>
        <w:t xml:space="preserve">В качестве инвесторов в рамках механизма МЧП могут выступать исключительно российские юридические лица, в то время как концессионное соглашение предусматривает привлечение индивидуальных предпринимателей, российских и иностранных юридических лиц, а также участников договора простого товарищества. </w:t>
      </w:r>
    </w:p>
    <w:p w:rsidR="001D6330" w:rsidRPr="001D6330" w:rsidRDefault="001D6330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330">
        <w:rPr>
          <w:rFonts w:ascii="Times New Roman" w:eastAsia="Calibri" w:hAnsi="Times New Roman" w:cs="Times New Roman"/>
          <w:sz w:val="24"/>
          <w:szCs w:val="24"/>
        </w:rPr>
        <w:tab/>
        <w:t xml:space="preserve">Также МЧП предполагает заключение соглашения на срок, не менее чем три года, в то время как концессионное соглашение таких ограничений не устанавливает. </w:t>
      </w:r>
    </w:p>
    <w:p w:rsidR="00FB335B" w:rsidRDefault="001D6330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D6330">
        <w:rPr>
          <w:rFonts w:ascii="Times New Roman" w:eastAsia="Calibri" w:hAnsi="Times New Roman" w:cs="Times New Roman"/>
          <w:sz w:val="24"/>
          <w:szCs w:val="24"/>
        </w:rPr>
        <w:tab/>
      </w:r>
      <w:r w:rsidRPr="001D63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Предметом концессионного соглашения является создание за счет частных средств объекта концессии </w:t>
      </w:r>
      <w:r w:rsidRPr="001D6330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во временное владение</w:t>
      </w:r>
      <w:r w:rsidRPr="001D63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пользование таким концессионером с целью получения доходов и прибыли,</w:t>
      </w:r>
      <w:r w:rsidRPr="001D6330">
        <w:rPr>
          <w:rFonts w:ascii="Times New Roman" w:eastAsia="Calibri" w:hAnsi="Times New Roman" w:cs="Times New Roman"/>
          <w:sz w:val="24"/>
          <w:szCs w:val="24"/>
        </w:rPr>
        <w:t xml:space="preserve"> в то время как объекты МЧП могут передаваться в </w:t>
      </w:r>
      <w:r w:rsidRPr="001D6330">
        <w:rPr>
          <w:rFonts w:ascii="Times New Roman" w:eastAsia="Calibri" w:hAnsi="Times New Roman" w:cs="Times New Roman"/>
          <w:sz w:val="24"/>
          <w:szCs w:val="24"/>
          <w:u w:val="single"/>
        </w:rPr>
        <w:t>частную собственность</w:t>
      </w:r>
      <w:r w:rsidRPr="001D63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A28B6" w:rsidRDefault="00BA28B6" w:rsidP="00BA28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Соглашение о МЧП, а также концессионное соглашение заключаются </w:t>
      </w:r>
      <w:r w:rsidRPr="00BA28B6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только в отношении недвижимого имущества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или </w:t>
      </w:r>
      <w:r w:rsidR="00C02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недвижимого</w:t>
      </w:r>
      <w:r w:rsidRPr="00BA28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движимо</w:t>
      </w:r>
      <w:r w:rsidR="00C02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</w:t>
      </w:r>
      <w:r w:rsidRPr="00BA28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имуществ</w:t>
      </w:r>
      <w:r w:rsidR="00C02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BA28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технологически связанн</w:t>
      </w:r>
      <w:r w:rsidR="004310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</w:t>
      </w:r>
      <w:r w:rsidRPr="00BA28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между собой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BA28B6" w:rsidRDefault="00BA28B6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E0B96" w:rsidRPr="00F63861" w:rsidRDefault="004E0B96" w:rsidP="004E0B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F6386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Ключевые отличия МЧП и  Концессии</w:t>
      </w:r>
    </w:p>
    <w:p w:rsidR="004E0B96" w:rsidRPr="00CB79BB" w:rsidRDefault="004E0B96" w:rsidP="004E0B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B96" w:rsidRPr="00CB79BB" w:rsidTr="002E3597">
        <w:tc>
          <w:tcPr>
            <w:tcW w:w="4785" w:type="dxa"/>
          </w:tcPr>
          <w:p w:rsidR="004E0B96" w:rsidRPr="004D5A62" w:rsidRDefault="004E0B96" w:rsidP="002E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Концессия</w:t>
            </w:r>
          </w:p>
        </w:tc>
        <w:tc>
          <w:tcPr>
            <w:tcW w:w="4786" w:type="dxa"/>
          </w:tcPr>
          <w:p w:rsidR="004E0B96" w:rsidRPr="004D5A62" w:rsidRDefault="004E0B96" w:rsidP="002E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МЧП</w:t>
            </w:r>
          </w:p>
        </w:tc>
      </w:tr>
      <w:tr w:rsidR="004E0B96" w:rsidRPr="00CB79BB" w:rsidTr="002E3597">
        <w:tc>
          <w:tcPr>
            <w:tcW w:w="4785" w:type="dxa"/>
          </w:tcPr>
          <w:p w:rsidR="004E0B96" w:rsidRPr="004D5A62" w:rsidRDefault="004E0B96" w:rsidP="002E3597">
            <w:pPr>
              <w:jc w:val="center"/>
              <w:rPr>
                <w:rFonts w:ascii="Times New Roman" w:hAnsi="Times New Roman" w:cs="Times New Roman"/>
              </w:rPr>
            </w:pPr>
            <w:r w:rsidRPr="004D5A62">
              <w:rPr>
                <w:rFonts w:ascii="Times New Roman" w:hAnsi="Times New Roman" w:cs="Times New Roman"/>
              </w:rPr>
              <w:t>право собственности на объект всегда сохраняется за публичной стороной (</w:t>
            </w:r>
            <w:proofErr w:type="spellStart"/>
            <w:r w:rsidRPr="004D5A6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онцедентом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4E0B96" w:rsidRPr="004D5A62" w:rsidRDefault="004E0B96" w:rsidP="002E3597">
            <w:pPr>
              <w:jc w:val="center"/>
              <w:rPr>
                <w:rFonts w:ascii="Times New Roman" w:hAnsi="Times New Roman" w:cs="Times New Roman"/>
              </w:rPr>
            </w:pPr>
            <w:r w:rsidRPr="004D5A62">
              <w:rPr>
                <w:rFonts w:ascii="Times New Roman" w:hAnsi="Times New Roman" w:cs="Times New Roman"/>
              </w:rPr>
              <w:t>осуществление эксплуатации может быть возложено на публичного партнера</w:t>
            </w:r>
          </w:p>
        </w:tc>
      </w:tr>
      <w:tr w:rsidR="004E0B96" w:rsidRPr="00CB79BB" w:rsidTr="002E3597">
        <w:tc>
          <w:tcPr>
            <w:tcW w:w="4785" w:type="dxa"/>
          </w:tcPr>
          <w:p w:rsidR="004E0B96" w:rsidRPr="004D5A62" w:rsidRDefault="004E0B96" w:rsidP="002E3597">
            <w:pPr>
              <w:jc w:val="center"/>
              <w:rPr>
                <w:rFonts w:ascii="Times New Roman" w:hAnsi="Times New Roman" w:cs="Times New Roman"/>
              </w:rPr>
            </w:pPr>
            <w:r w:rsidRPr="004D5A62">
              <w:rPr>
                <w:rFonts w:ascii="Times New Roman" w:hAnsi="Times New Roman" w:cs="Times New Roman"/>
              </w:rPr>
              <w:t>осуществление эксплуатации всегда возлагается на концессионера</w:t>
            </w:r>
          </w:p>
        </w:tc>
        <w:tc>
          <w:tcPr>
            <w:tcW w:w="4786" w:type="dxa"/>
          </w:tcPr>
          <w:p w:rsidR="004E0B96" w:rsidRPr="004D5A62" w:rsidRDefault="004E0B96" w:rsidP="002E3597">
            <w:pPr>
              <w:jc w:val="center"/>
              <w:rPr>
                <w:rFonts w:ascii="Times New Roman" w:hAnsi="Times New Roman" w:cs="Times New Roman"/>
              </w:rPr>
            </w:pPr>
            <w:r w:rsidRPr="004D5A62">
              <w:rPr>
                <w:rFonts w:ascii="Times New Roman" w:hAnsi="Times New Roman" w:cs="Times New Roman"/>
              </w:rPr>
              <w:t>право собственности на объект соглашения возникает у частного партнера.</w:t>
            </w:r>
          </w:p>
        </w:tc>
      </w:tr>
    </w:tbl>
    <w:p w:rsidR="004E0B96" w:rsidRPr="00CB79BB" w:rsidRDefault="004E0B96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E0B96" w:rsidRPr="00CB79BB" w:rsidRDefault="00FB335B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B79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Объектами соглашения могут являться</w:t>
      </w:r>
      <w:r w:rsidR="00CB79BB" w:rsidRPr="00CB79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35B" w:rsidRPr="00CB79BB" w:rsidTr="00FB335B">
        <w:tc>
          <w:tcPr>
            <w:tcW w:w="4785" w:type="dxa"/>
          </w:tcPr>
          <w:p w:rsidR="00FB335B" w:rsidRPr="00CB79BB" w:rsidRDefault="00FB335B" w:rsidP="00184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Концессия</w:t>
            </w:r>
          </w:p>
        </w:tc>
        <w:tc>
          <w:tcPr>
            <w:tcW w:w="4786" w:type="dxa"/>
          </w:tcPr>
          <w:p w:rsidR="00FB335B" w:rsidRPr="00CB79BB" w:rsidRDefault="00FB335B" w:rsidP="00184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МЧП</w:t>
            </w:r>
          </w:p>
        </w:tc>
      </w:tr>
      <w:tr w:rsidR="00CB79BB" w:rsidRPr="009D35BC" w:rsidTr="00184A22">
        <w:tc>
          <w:tcPr>
            <w:tcW w:w="9571" w:type="dxa"/>
            <w:gridSpan w:val="2"/>
            <w:shd w:val="clear" w:color="auto" w:fill="FFFFFF" w:themeFill="background1"/>
          </w:tcPr>
          <w:p w:rsidR="00CB79BB" w:rsidRPr="009D35BC" w:rsidRDefault="00CB79BB" w:rsidP="001D633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D35B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Сходство</w:t>
            </w:r>
          </w:p>
        </w:tc>
      </w:tr>
      <w:tr w:rsidR="00FB335B" w:rsidRPr="00CB79BB" w:rsidTr="00FB335B">
        <w:tc>
          <w:tcPr>
            <w:tcW w:w="4785" w:type="dxa"/>
          </w:tcPr>
          <w:p w:rsidR="00FB335B" w:rsidRPr="00CB79BB" w:rsidRDefault="00CB79BB" w:rsidP="001D6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железнодорожного транспорта</w:t>
            </w:r>
          </w:p>
        </w:tc>
        <w:tc>
          <w:tcPr>
            <w:tcW w:w="4786" w:type="dxa"/>
          </w:tcPr>
          <w:p w:rsidR="00FB335B" w:rsidRPr="00CB79BB" w:rsidRDefault="00CB79BB" w:rsidP="001D6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железнодорожного транспорта</w:t>
            </w:r>
          </w:p>
        </w:tc>
      </w:tr>
      <w:tr w:rsidR="00FB335B" w:rsidRPr="00CB79BB" w:rsidTr="00FB335B">
        <w:tc>
          <w:tcPr>
            <w:tcW w:w="4785" w:type="dxa"/>
          </w:tcPr>
          <w:p w:rsidR="00FB335B" w:rsidRPr="00CB79BB" w:rsidRDefault="00CB79BB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морские и речные порты и суда</w:t>
            </w:r>
          </w:p>
        </w:tc>
        <w:tc>
          <w:tcPr>
            <w:tcW w:w="4786" w:type="dxa"/>
          </w:tcPr>
          <w:p w:rsidR="00FB335B" w:rsidRPr="00CB79BB" w:rsidRDefault="00CB79BB" w:rsidP="001D6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морские и речные порты и суда</w:t>
            </w:r>
          </w:p>
        </w:tc>
      </w:tr>
      <w:tr w:rsidR="00FB335B" w:rsidRPr="00CB79BB" w:rsidTr="00FB335B">
        <w:tc>
          <w:tcPr>
            <w:tcW w:w="4785" w:type="dxa"/>
          </w:tcPr>
          <w:p w:rsidR="00FB335B" w:rsidRPr="00CB79BB" w:rsidRDefault="00CB79BB" w:rsidP="001D6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трубопроводного транспорта</w:t>
            </w:r>
          </w:p>
        </w:tc>
        <w:tc>
          <w:tcPr>
            <w:tcW w:w="4786" w:type="dxa"/>
          </w:tcPr>
          <w:p w:rsidR="00FB335B" w:rsidRPr="00CB79BB" w:rsidRDefault="00CB79BB" w:rsidP="001D6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трубопроводного транспорта</w:t>
            </w:r>
          </w:p>
        </w:tc>
      </w:tr>
      <w:tr w:rsidR="00FB335B" w:rsidRPr="00CB79BB" w:rsidTr="00FB335B">
        <w:tc>
          <w:tcPr>
            <w:tcW w:w="4785" w:type="dxa"/>
          </w:tcPr>
          <w:p w:rsidR="00FB335B" w:rsidRPr="00184A22" w:rsidRDefault="00CB79BB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по производству и передаче электрической энергии</w:t>
            </w:r>
          </w:p>
        </w:tc>
        <w:tc>
          <w:tcPr>
            <w:tcW w:w="4786" w:type="dxa"/>
          </w:tcPr>
          <w:p w:rsidR="00FB335B" w:rsidRPr="00CB79BB" w:rsidRDefault="00CB79BB" w:rsidP="001D6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 по производству и передаче электрической энергии</w:t>
            </w:r>
          </w:p>
        </w:tc>
      </w:tr>
      <w:tr w:rsidR="00CB79BB" w:rsidRPr="00CB79BB" w:rsidTr="00FB335B">
        <w:tc>
          <w:tcPr>
            <w:tcW w:w="4785" w:type="dxa"/>
          </w:tcPr>
          <w:p w:rsidR="00CB79BB" w:rsidRPr="00CB79BB" w:rsidRDefault="00CB79BB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объектам образования, культуры, спорта, туризма</w:t>
            </w:r>
          </w:p>
        </w:tc>
        <w:tc>
          <w:tcPr>
            <w:tcW w:w="4786" w:type="dxa"/>
          </w:tcPr>
          <w:p w:rsidR="00CB79BB" w:rsidRPr="00CB79BB" w:rsidRDefault="00CB79BB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объектам образования, культуры, спорта, туризма</w:t>
            </w:r>
          </w:p>
        </w:tc>
      </w:tr>
      <w:tr w:rsidR="00CB79BB" w:rsidRPr="00CB79BB" w:rsidTr="00FB335B">
        <w:tc>
          <w:tcPr>
            <w:tcW w:w="4785" w:type="dxa"/>
          </w:tcPr>
          <w:p w:rsidR="00CB79BB" w:rsidRPr="00CB79BB" w:rsidRDefault="00CB79BB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объекты, на которых осуществляются обработка, накопление, утилизация, обезвреживание, размещение твердых коммунальных отходов</w:t>
            </w:r>
          </w:p>
        </w:tc>
        <w:tc>
          <w:tcPr>
            <w:tcW w:w="4786" w:type="dxa"/>
          </w:tcPr>
          <w:p w:rsidR="00CB79BB" w:rsidRPr="00CB79BB" w:rsidRDefault="00CB79BB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объекты, на которых осуществляются обработка, накопление, утилизация, обезвреживание, размещение твердых коммунальных отходов</w:t>
            </w:r>
          </w:p>
        </w:tc>
      </w:tr>
      <w:tr w:rsidR="00CB79BB" w:rsidRPr="00CB79BB" w:rsidTr="00FB335B">
        <w:tc>
          <w:tcPr>
            <w:tcW w:w="4785" w:type="dxa"/>
          </w:tcPr>
          <w:p w:rsidR="00CB79BB" w:rsidRPr="00CB79BB" w:rsidRDefault="00CB79BB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программы для электронных вычислительных машин базы данных, информационные системы</w:t>
            </w:r>
          </w:p>
        </w:tc>
        <w:tc>
          <w:tcPr>
            <w:tcW w:w="4786" w:type="dxa"/>
          </w:tcPr>
          <w:p w:rsidR="00CB79BB" w:rsidRPr="00CB79BB" w:rsidRDefault="00CB79BB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программы для электронных вычислительных машин базы данных, информационные системы</w:t>
            </w:r>
          </w:p>
        </w:tc>
      </w:tr>
      <w:tr w:rsidR="00196D76" w:rsidRPr="00CB79BB" w:rsidTr="002E3597">
        <w:tc>
          <w:tcPr>
            <w:tcW w:w="4785" w:type="dxa"/>
          </w:tcPr>
          <w:p w:rsidR="00196D76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объекты здравоохранения, в том числе объекты, предназначенные для санаторно-курортного лечения</w:t>
            </w:r>
          </w:p>
        </w:tc>
        <w:tc>
          <w:tcPr>
            <w:tcW w:w="4786" w:type="dxa"/>
          </w:tcPr>
          <w:p w:rsidR="00196D76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объекты здравоохранения, в том числе объекты, предназначенные для санаторно-курортного лечения </w:t>
            </w:r>
            <w:r w:rsidRPr="00420FEE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  <w:t>и иной деятельности в сфере здравоохранения</w:t>
            </w:r>
          </w:p>
        </w:tc>
      </w:tr>
      <w:tr w:rsidR="00196D76" w:rsidRPr="00CB79BB" w:rsidTr="002E3597">
        <w:tc>
          <w:tcPr>
            <w:tcW w:w="4785" w:type="dxa"/>
          </w:tcPr>
          <w:p w:rsidR="00196D76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гидротехнические сооружения</w:t>
            </w:r>
          </w:p>
        </w:tc>
        <w:tc>
          <w:tcPr>
            <w:tcW w:w="4786" w:type="dxa"/>
          </w:tcPr>
          <w:p w:rsidR="00196D76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гидротехнические сооружения, </w:t>
            </w:r>
            <w:r w:rsidRPr="00420FEE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  <w:t>стационарные и (или) плавучие платформы, искусственные острова</w:t>
            </w:r>
          </w:p>
        </w:tc>
      </w:tr>
      <w:tr w:rsidR="00196D76" w:rsidRPr="00CB79BB" w:rsidTr="002E3597">
        <w:tc>
          <w:tcPr>
            <w:tcW w:w="4785" w:type="dxa"/>
          </w:tcPr>
          <w:p w:rsidR="00196D76" w:rsidRPr="00184A22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производства, первичной и (или) последующей (промышленной) переработки, хранения сельскохозяйственной продукции</w:t>
            </w:r>
          </w:p>
        </w:tc>
        <w:tc>
          <w:tcPr>
            <w:tcW w:w="4786" w:type="dxa"/>
          </w:tcPr>
          <w:p w:rsidR="00196D76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производства, первичной и (или) последующей (промышленной) переработки, хранения сельскохозяйственной продукции</w:t>
            </w:r>
          </w:p>
        </w:tc>
      </w:tr>
      <w:tr w:rsidR="00CB79BB" w:rsidRPr="00CB79BB" w:rsidTr="00FB335B">
        <w:tc>
          <w:tcPr>
            <w:tcW w:w="4785" w:type="dxa"/>
          </w:tcPr>
          <w:p w:rsidR="00CB79BB" w:rsidRPr="00CB79BB" w:rsidRDefault="00CB79BB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центры обработки данных</w:t>
            </w:r>
          </w:p>
        </w:tc>
        <w:tc>
          <w:tcPr>
            <w:tcW w:w="4786" w:type="dxa"/>
          </w:tcPr>
          <w:p w:rsidR="00CB79BB" w:rsidRPr="00CB79BB" w:rsidRDefault="00CB79BB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79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центры обработки данных</w:t>
            </w:r>
          </w:p>
        </w:tc>
      </w:tr>
      <w:tr w:rsidR="00CB79BB" w:rsidRPr="009D35BC" w:rsidTr="00E374F3">
        <w:tc>
          <w:tcPr>
            <w:tcW w:w="9571" w:type="dxa"/>
            <w:gridSpan w:val="2"/>
          </w:tcPr>
          <w:p w:rsidR="00CB79BB" w:rsidRPr="009D35BC" w:rsidRDefault="00CB79BB" w:rsidP="002E359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D35B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Различие</w:t>
            </w:r>
          </w:p>
        </w:tc>
      </w:tr>
      <w:tr w:rsidR="00CB79BB" w:rsidRPr="00CB79BB" w:rsidTr="00FB335B">
        <w:tc>
          <w:tcPr>
            <w:tcW w:w="4785" w:type="dxa"/>
          </w:tcPr>
          <w:p w:rsidR="00CB79BB" w:rsidRPr="00CB79BB" w:rsidRDefault="00184A22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автомобильные дороги или участки автомобильных дорог, защитные дорожные сооружения, 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кусственные дорожные сооружения и др.</w:t>
            </w:r>
          </w:p>
        </w:tc>
        <w:tc>
          <w:tcPr>
            <w:tcW w:w="4786" w:type="dxa"/>
          </w:tcPr>
          <w:p w:rsidR="00CB79BB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частные автомобильные дороги или участки частных автомобильных дорог, мосты, защитные дорожные сооружения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др.</w:t>
            </w:r>
          </w:p>
        </w:tc>
      </w:tr>
      <w:tr w:rsidR="00CB79BB" w:rsidRPr="00CB79BB" w:rsidTr="00FB335B">
        <w:tc>
          <w:tcPr>
            <w:tcW w:w="4785" w:type="dxa"/>
          </w:tcPr>
          <w:p w:rsidR="00CB79BB" w:rsidRPr="00CB79BB" w:rsidRDefault="00184A22" w:rsidP="00196D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аэродромы или здания и (или) сооружения, предназначенные для взлета, посадки, руления и стоянки воздушных судо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96D76"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организации полетов гражданских и государственных воздушных судов </w:t>
            </w:r>
          </w:p>
        </w:tc>
        <w:tc>
          <w:tcPr>
            <w:tcW w:w="4786" w:type="dxa"/>
          </w:tcPr>
          <w:p w:rsidR="00CB79BB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воздушные суда, аэродромы, аэропорты, технические средства и другие предназначенные для обеспечения полетов воздушных судов средства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 исключением объектов, отнесенных к имуществу государственной авиации</w:t>
            </w:r>
          </w:p>
        </w:tc>
      </w:tr>
      <w:tr w:rsidR="00184A22" w:rsidRPr="00CB79BB" w:rsidTr="00FB335B">
        <w:tc>
          <w:tcPr>
            <w:tcW w:w="4785" w:type="dxa"/>
          </w:tcPr>
          <w:p w:rsidR="00184A22" w:rsidRDefault="00184A22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      </w:r>
          </w:p>
        </w:tc>
        <w:tc>
          <w:tcPr>
            <w:tcW w:w="4786" w:type="dxa"/>
          </w:tcPr>
          <w:p w:rsidR="00184A22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подводные и подземные технические сооружения, переходы, сооружения связи, линии связи и коммуникации, иные линейные объекты связи и коммуникации</w:t>
            </w:r>
          </w:p>
        </w:tc>
      </w:tr>
      <w:tr w:rsidR="00184A22" w:rsidRPr="00CB79BB" w:rsidTr="00FB335B">
        <w:tc>
          <w:tcPr>
            <w:tcW w:w="4785" w:type="dxa"/>
          </w:tcPr>
          <w:p w:rsidR="00184A22" w:rsidRDefault="00184A22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метрополитен и другой транспорт общего пользования</w:t>
            </w:r>
          </w:p>
        </w:tc>
        <w:tc>
          <w:tcPr>
            <w:tcW w:w="4786" w:type="dxa"/>
          </w:tcPr>
          <w:p w:rsidR="00184A22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транспорт общего пользования, за исключением метрополитена</w:t>
            </w:r>
          </w:p>
        </w:tc>
      </w:tr>
      <w:tr w:rsidR="00184A22" w:rsidRPr="00CB79BB" w:rsidTr="00FB335B">
        <w:tc>
          <w:tcPr>
            <w:tcW w:w="4785" w:type="dxa"/>
          </w:tcPr>
          <w:p w:rsidR="00184A22" w:rsidRDefault="00184A22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здания, строения и сооружения, предназначенные для складирования, хранения и ремонта имущества Вооруженных Сил Российской Федерации, объекты производственной и инженерной инфраструктур таких зданий, строений и сооружений</w:t>
            </w:r>
          </w:p>
        </w:tc>
        <w:tc>
          <w:tcPr>
            <w:tcW w:w="4786" w:type="dxa"/>
          </w:tcPr>
          <w:p w:rsidR="00184A22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имущественные комплексы, предназначенные для производства промышленной продукции и (или) осуществления иной деятельности в сфере промышленности;</w:t>
            </w:r>
          </w:p>
        </w:tc>
      </w:tr>
      <w:tr w:rsidR="00184A22" w:rsidRPr="00CB79BB" w:rsidTr="00FB335B">
        <w:tc>
          <w:tcPr>
            <w:tcW w:w="4785" w:type="dxa"/>
          </w:tcPr>
          <w:p w:rsidR="00184A22" w:rsidRPr="00184A22" w:rsidRDefault="00184A22" w:rsidP="00184A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энергоснабжения, объекты, предназначенные для освещения территорий городских и сельских поселений, объекты, предназначенные для благоустройства территорий</w:t>
            </w:r>
          </w:p>
        </w:tc>
        <w:tc>
          <w:tcPr>
            <w:tcW w:w="4786" w:type="dxa"/>
          </w:tcPr>
          <w:p w:rsidR="00184A22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благоустройства территорий, в том числе для их освещения</w:t>
            </w:r>
          </w:p>
        </w:tc>
      </w:tr>
      <w:tr w:rsidR="00184A22" w:rsidRPr="00CB79BB" w:rsidTr="00FB335B">
        <w:tc>
          <w:tcPr>
            <w:tcW w:w="4785" w:type="dxa"/>
          </w:tcPr>
          <w:p w:rsidR="00184A22" w:rsidRPr="00184A22" w:rsidRDefault="00184A22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оциального обслуживания граждан</w:t>
            </w:r>
          </w:p>
        </w:tc>
        <w:tc>
          <w:tcPr>
            <w:tcW w:w="4786" w:type="dxa"/>
          </w:tcPr>
          <w:p w:rsidR="00184A22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охотничьей инфраструктуры</w:t>
            </w:r>
          </w:p>
        </w:tc>
      </w:tr>
      <w:tr w:rsidR="00184A22" w:rsidRPr="00CB79BB" w:rsidTr="00FB335B">
        <w:tc>
          <w:tcPr>
            <w:tcW w:w="4785" w:type="dxa"/>
          </w:tcPr>
          <w:p w:rsidR="00184A22" w:rsidRPr="00184A22" w:rsidRDefault="00184A22" w:rsidP="00CB79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объекты газоснабжения</w:t>
            </w:r>
          </w:p>
        </w:tc>
        <w:tc>
          <w:tcPr>
            <w:tcW w:w="4786" w:type="dxa"/>
          </w:tcPr>
          <w:p w:rsidR="00184A22" w:rsidRPr="00CB79BB" w:rsidRDefault="00196D76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D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мелиоративные системы и объекты их инженерной инфраструктуры, за исключением государственных мелиоративных систем</w:t>
            </w:r>
          </w:p>
        </w:tc>
      </w:tr>
      <w:tr w:rsidR="00E668E7" w:rsidRPr="00CB79BB" w:rsidTr="00E668E7">
        <w:tc>
          <w:tcPr>
            <w:tcW w:w="4785" w:type="dxa"/>
          </w:tcPr>
          <w:p w:rsidR="00E668E7" w:rsidRPr="00184A22" w:rsidRDefault="00E668E7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Pr="00184A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бъекты производственной и инженерной инфраструктур аэропортов</w:t>
            </w:r>
          </w:p>
        </w:tc>
        <w:tc>
          <w:tcPr>
            <w:tcW w:w="4786" w:type="dxa"/>
          </w:tcPr>
          <w:p w:rsidR="00E668E7" w:rsidRPr="00CB79BB" w:rsidRDefault="00E668E7" w:rsidP="002E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80BEA" w:rsidRDefault="00080BEA" w:rsidP="00CC35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C35CA" w:rsidRDefault="00783DDD" w:rsidP="00CC35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3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Этапы </w:t>
      </w:r>
      <w:r w:rsidR="003147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заключения соглашения на основании </w:t>
      </w:r>
      <w:r w:rsidRPr="00783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реализации федеральн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</w:t>
      </w:r>
      <w:r w:rsidRPr="00783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закона «О концессионных сог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лашениях» от 21.07.2005 №115-ФЗ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3969"/>
      </w:tblGrid>
      <w:tr w:rsidR="00EF27D7" w:rsidRPr="00B15A1B" w:rsidTr="005B1757">
        <w:trPr>
          <w:trHeight w:val="2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EF27D7" w:rsidP="00EF27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15A1B">
              <w:rPr>
                <w:rFonts w:ascii="Times New Roman" w:eastAsia="Calibri" w:hAnsi="Times New Roman" w:cs="Times New Roman"/>
              </w:rPr>
              <w:t>.</w:t>
            </w:r>
            <w:r w:rsidRPr="00B15A1B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Подготовительный этап </w:t>
            </w:r>
          </w:p>
        </w:tc>
      </w:tr>
      <w:tr w:rsidR="00EF27D7" w:rsidRPr="00B15A1B" w:rsidTr="005B175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EF27D7" w:rsidP="005B1757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EF27D7" w:rsidP="005B175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EF27D7">
              <w:rPr>
                <w:rFonts w:ascii="Times New Roman" w:eastAsia="Calibri" w:hAnsi="Times New Roman" w:cs="Times New Roman"/>
              </w:rPr>
              <w:t>Формирование перечня объектов концессионного соглашения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7" w:rsidRPr="00B15A1B" w:rsidRDefault="00EF27D7" w:rsidP="005B175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момента заключения соглашения</w:t>
            </w:r>
          </w:p>
        </w:tc>
      </w:tr>
      <w:tr w:rsidR="00EF27D7" w:rsidRPr="00B15A1B" w:rsidTr="005B175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EF27D7" w:rsidP="005B1757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5B3D7C" w:rsidP="005B175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5B3D7C">
              <w:rPr>
                <w:rFonts w:ascii="Times New Roman" w:eastAsia="Calibri" w:hAnsi="Times New Roman" w:cs="Times New Roman"/>
              </w:rPr>
              <w:t>Освобождение объектов концессионного соглашения от прав третьих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7" w:rsidRPr="00B15A1B" w:rsidRDefault="00EF27D7" w:rsidP="005B175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F27D7" w:rsidRPr="00B15A1B" w:rsidTr="005B175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EF27D7" w:rsidP="005B1757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7" w:rsidRPr="00B15A1B" w:rsidRDefault="005B3D7C" w:rsidP="005B175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5B3D7C">
              <w:rPr>
                <w:rFonts w:ascii="Times New Roman" w:eastAsia="Calibri" w:hAnsi="Times New Roman" w:cs="Times New Roman"/>
              </w:rPr>
              <w:t>Разработка и согласование условий концессионного соглашения и предложения, проведение переговоров (совещаний).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7" w:rsidRPr="00B15A1B" w:rsidRDefault="00EF27D7" w:rsidP="005B175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5A1B" w:rsidRPr="00B15A1B" w:rsidTr="001F3DBE">
        <w:trPr>
          <w:trHeight w:val="2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B15A1B">
              <w:rPr>
                <w:rFonts w:ascii="Times New Roman" w:eastAsia="Calibri" w:hAnsi="Times New Roman" w:cs="Times New Roman"/>
              </w:rPr>
              <w:t>.</w:t>
            </w:r>
            <w:r w:rsidRPr="00B15A1B">
              <w:rPr>
                <w:rFonts w:ascii="Times New Roman" w:eastAsia="Calibri" w:hAnsi="Times New Roman" w:cs="Times New Roman"/>
              </w:rPr>
              <w:tab/>
              <w:t>Стадия заключения концессионного соглашения.</w:t>
            </w:r>
          </w:p>
        </w:tc>
      </w:tr>
      <w:tr w:rsidR="00B15A1B" w:rsidRPr="00B15A1B" w:rsidTr="00B15A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Направление инициатором предложения.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1B" w:rsidRPr="00B15A1B" w:rsidRDefault="00B15A1B" w:rsidP="00B15A1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15A1B" w:rsidRPr="00B15A1B" w:rsidTr="00B15A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Решение о возможности заключения концессионного соглашения.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1B" w:rsidRPr="00B15A1B" w:rsidRDefault="00B15A1B" w:rsidP="00B15A1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30 дней</w:t>
            </w:r>
          </w:p>
        </w:tc>
      </w:tr>
      <w:tr w:rsidR="00B15A1B" w:rsidRPr="00B15A1B" w:rsidTr="00B15A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EF27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Публикация предложения о заключении КС. (В течение 10 дней с момента принятия уполномоченным органом положительного решения).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1B" w:rsidRPr="00B15A1B" w:rsidRDefault="00B15A1B" w:rsidP="00EF27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45 дней</w:t>
            </w:r>
          </w:p>
        </w:tc>
      </w:tr>
      <w:tr w:rsidR="00B15A1B" w:rsidRPr="00B15A1B" w:rsidTr="00B15A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1B" w:rsidRPr="00B15A1B" w:rsidRDefault="00B15A1B" w:rsidP="00B15A1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Проведение конкурса*/заключение КС с Инициатором проекта.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1B" w:rsidRPr="00B15A1B" w:rsidRDefault="00B15A1B" w:rsidP="00B15A1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15A1B">
              <w:rPr>
                <w:rFonts w:ascii="Times New Roman" w:eastAsia="Calibri" w:hAnsi="Times New Roman" w:cs="Times New Roman"/>
              </w:rPr>
              <w:t>4 месяца/30 дней</w:t>
            </w:r>
          </w:p>
        </w:tc>
      </w:tr>
    </w:tbl>
    <w:p w:rsidR="00CC35CA" w:rsidRPr="00CC35CA" w:rsidRDefault="00CC35CA" w:rsidP="00CC3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35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Конкурсные процедуры</w:t>
      </w:r>
      <w:r w:rsidR="00B5320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*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690"/>
        <w:gridCol w:w="3934"/>
      </w:tblGrid>
      <w:tr w:rsidR="00CC35CA" w:rsidRPr="00CC35CA" w:rsidTr="00CC35CA">
        <w:trPr>
          <w:jc w:val="center"/>
        </w:trPr>
        <w:tc>
          <w:tcPr>
            <w:tcW w:w="583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№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/п</w:t>
            </w:r>
          </w:p>
        </w:tc>
        <w:tc>
          <w:tcPr>
            <w:tcW w:w="5690" w:type="dxa"/>
          </w:tcPr>
          <w:p w:rsidR="00CC35CA" w:rsidRPr="00CC35CA" w:rsidRDefault="00CC35CA" w:rsidP="00CC3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3934" w:type="dxa"/>
          </w:tcPr>
          <w:p w:rsidR="00CC35CA" w:rsidRPr="00CC35CA" w:rsidRDefault="00CC35CA" w:rsidP="001E7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Срок исполнения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1.</w:t>
            </w: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Принятие заявок о готовности к участию в конкурсе на заключение КС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45 дней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 даты размещения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предложения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2.</w:t>
            </w: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Размещение на офиц</w:t>
            </w: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иальном </w:t>
            </w: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сайте информации о поступивших заявках.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3.</w:t>
            </w: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Размещение на офиц</w:t>
            </w: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иальном </w:t>
            </w: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сайте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концедента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конкурсной документации и сообщения о проведении открытого конкурса 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в</w:t>
            </w: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срок, установленный конкурсной документацией, но не менее, чем за 30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ней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до истечения срока предоставления заявок на участие в аукционе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4.</w:t>
            </w: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Прием заявок на участие в конкурсе конкурсной комиссией 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не менее 30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ней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со дня опубликования или размещения сообщения о проведении конкурса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Merge w:val="restart"/>
            <w:tcBorders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5.</w:t>
            </w:r>
          </w:p>
        </w:tc>
        <w:tc>
          <w:tcPr>
            <w:tcW w:w="5690" w:type="dxa"/>
            <w:tcBorders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numPr>
                <w:ilvl w:val="1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Если поступило менее 2х заявок на участие в конкурсе, конкурс признается не состоявшимся.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Вскрытие единственного конверта с заявкой, рассмотрение заявки на предмет соответствия ее конкурсной документации 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3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ня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со дня принятия решения о признании конкурса несостоявшимся.</w:t>
            </w:r>
          </w:p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Предложение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ед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.у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частнику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предарительного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отбора представить предложение о заключении концессионного соглашения на условиях конкурсной документации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10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ней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со дня принятия решения о признании конкурса несостоявшимся.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Предоставление заявителем предложения 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60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ней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со дня получения предложения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Рассмотрение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концедентом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предложения заявителя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не более 15 дней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 даты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его  представления заявителем.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Решение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концедента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о заключении соглашения с заявителем.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single" w:sz="4" w:space="0" w:color="auto"/>
              <w:bottom w:val="nil"/>
            </w:tcBorders>
            <w:vAlign w:val="center"/>
          </w:tcPr>
          <w:p w:rsidR="00CC35CA" w:rsidRPr="00CC35CA" w:rsidRDefault="00CC35CA" w:rsidP="00CC35CA">
            <w:pPr>
              <w:numPr>
                <w:ilvl w:val="1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При поступлении более 2-х заявок - вскрытие конвертов с заявками на заседании конкурсной комиссии (дата, время и место устанавливается конкурсной документацией).</w:t>
            </w:r>
          </w:p>
        </w:tc>
        <w:tc>
          <w:tcPr>
            <w:tcW w:w="3934" w:type="dxa"/>
            <w:tcBorders>
              <w:top w:val="single" w:sz="4" w:space="0" w:color="auto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Предварительный отбор участников конкурса, решение комиссии о допуске заявителя к участию в конкурсе или об отказе в допуске.</w:t>
            </w:r>
          </w:p>
        </w:tc>
        <w:tc>
          <w:tcPr>
            <w:tcW w:w="3934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Направление конкурсной комиссией уведомления с предложением представить конкурсные предложения </w:t>
            </w:r>
          </w:p>
        </w:tc>
        <w:tc>
          <w:tcPr>
            <w:tcW w:w="3934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3 раб. дня со дня подписания протокола проведения предварительного отбора участников конкурса – не позднее 60 дней до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истеч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.с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рока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предоставления предложений.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Представление конкурсных предложений участника конкурса.</w:t>
            </w:r>
          </w:p>
        </w:tc>
        <w:tc>
          <w:tcPr>
            <w:tcW w:w="3934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о</w:t>
            </w: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т 60 дней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Вскрытие конвертов с конкурсными предложениями на заседании конкурсной комиссии, рассмотрение и оценка конкурсных предложений.</w:t>
            </w:r>
          </w:p>
        </w:tc>
        <w:tc>
          <w:tcPr>
            <w:tcW w:w="3934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д</w:t>
            </w: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ата, время устанавливается конкурсной документацией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tcBorders>
              <w:top w:val="nil"/>
            </w:tcBorders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Принятие решение о соответствии / несоответствии конкурсного предложения условиям конкурсной документации.</w:t>
            </w:r>
          </w:p>
        </w:tc>
        <w:tc>
          <w:tcPr>
            <w:tcW w:w="3934" w:type="dxa"/>
            <w:tcBorders>
              <w:top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1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Признание конкурса несостоявшимся (представлено менее 2-х конкурсных предложений, признание соответствующим требованиям конкурсной документации менее двух предложений).</w:t>
            </w:r>
          </w:p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Рассмотрение одного конкурсного предложения и принятие решения о заключении концессионного соглашения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данным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участников конкурса 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дней со дня принятия решения о признании конкурса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несостоявшимся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1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Определение победителя конкурса (более 2-х предложений, признанных соответствующими требованиям конкурсной документации)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Оформление протокола рассмотрения и оценки конкурсных предложений.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Подписание протокола о результатах проведения конкурса 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5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ней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 даты подписания протокола рассмотрения предложений. 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Опубликование протокола о результатах проведения конкурса, направление уведомления участникам конкурса о результатах проведения конкурса 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AD0C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15 </w:t>
            </w:r>
            <w:proofErr w:type="spell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раб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.д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ней</w:t>
            </w:r>
            <w:proofErr w:type="spell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с даты подписания. 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Направление победителю конкурса протокола о результатах проведения конкурса, проекта концессионного соглашения 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5 дней </w:t>
            </w:r>
            <w:proofErr w:type="gramStart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 даты подписания</w:t>
            </w:r>
            <w:proofErr w:type="gramEnd"/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протокола.</w:t>
            </w: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Предоставление победителем конкурса документов, подтверждающих обеспечение исполнения обязательств по соглашения до дня подписания соглашения.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Заключение концессионного соглашения.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  <w:tr w:rsidR="00CC35CA" w:rsidRPr="00CC35CA" w:rsidTr="00CC35CA">
        <w:trPr>
          <w:jc w:val="center"/>
        </w:trPr>
        <w:tc>
          <w:tcPr>
            <w:tcW w:w="583" w:type="dxa"/>
            <w:tcBorders>
              <w:top w:val="nil"/>
              <w:bottom w:val="single" w:sz="4" w:space="0" w:color="auto"/>
            </w:tcBorders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5690" w:type="dxa"/>
            <w:vAlign w:val="center"/>
          </w:tcPr>
          <w:p w:rsidR="00CC35CA" w:rsidRPr="00CC35CA" w:rsidRDefault="00CC35CA" w:rsidP="00CC35CA">
            <w:pPr>
              <w:numPr>
                <w:ilvl w:val="2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CC35C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Опубликование сообщения о заключении концессионного соглашения. </w:t>
            </w:r>
          </w:p>
        </w:tc>
        <w:tc>
          <w:tcPr>
            <w:tcW w:w="3934" w:type="dxa"/>
            <w:vAlign w:val="center"/>
          </w:tcPr>
          <w:p w:rsidR="00CC35CA" w:rsidRPr="00CC35CA" w:rsidRDefault="00CC35CA" w:rsidP="00CC3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</w:tc>
      </w:tr>
    </w:tbl>
    <w:p w:rsidR="00AD0CE7" w:rsidRDefault="00AD0CE7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D7C" w:rsidRDefault="005B3D7C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D7C" w:rsidRDefault="005B3D7C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427" w:rsidRDefault="00207427" w:rsidP="001D6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D7C" w:rsidRPr="005B3D7C" w:rsidRDefault="003147A2" w:rsidP="007B52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3147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Этапы заключения соглашения на основании</w:t>
      </w:r>
      <w:r w:rsidR="005B3D7C" w:rsidRPr="00783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реализации федеральн</w:t>
      </w:r>
      <w:r w:rsidR="005B3D7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</w:t>
      </w:r>
      <w:r w:rsidR="005B3D7C" w:rsidRPr="00783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закона </w:t>
      </w:r>
      <w:r w:rsidR="005B3D7C" w:rsidRPr="005B3D7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едерации» от 29.07.2015 №224-ФЗ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095"/>
        <w:gridCol w:w="3260"/>
      </w:tblGrid>
      <w:tr w:rsidR="00FF1B63" w:rsidRPr="00CC35CA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3" w:rsidRPr="00FF1B63" w:rsidRDefault="00FF1B63" w:rsidP="00FF1B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F1B6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F1B6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F1B6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3" w:rsidRPr="00FF1B63" w:rsidRDefault="00FF1B63" w:rsidP="00FF1B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F1B63"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3" w:rsidRPr="00FF1B63" w:rsidRDefault="00FF1B63" w:rsidP="00FF1B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F1B63">
              <w:rPr>
                <w:rFonts w:ascii="Times New Roman" w:eastAsia="Calibri" w:hAnsi="Times New Roman" w:cs="Times New Roman"/>
              </w:rPr>
              <w:t>Срок исполнения</w:t>
            </w:r>
          </w:p>
          <w:p w:rsidR="00FF1B63" w:rsidRPr="00FF1B63" w:rsidRDefault="00FF1B63" w:rsidP="00FF1B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F1B63">
              <w:rPr>
                <w:rFonts w:ascii="Times New Roman" w:eastAsia="Calibri" w:hAnsi="Times New Roman" w:cs="Times New Roman"/>
              </w:rPr>
              <w:t>(календарный)</w:t>
            </w:r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FF1B63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082B9D" w:rsidP="007B529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Проведение предварительных переговоров, связанных с разработкой предложения о реализации проекта, соглашения о </w:t>
            </w:r>
            <w:r w:rsidR="007B5290">
              <w:rPr>
                <w:rFonts w:ascii="Times New Roman" w:eastAsia="Calibri" w:hAnsi="Times New Roman" w:cs="Times New Roman"/>
              </w:rPr>
              <w:t>МЧП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45222E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AF1B17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082B9D" w:rsidP="007B529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Направление главе Волгограда предложения о реализации проекта </w:t>
            </w:r>
            <w:r w:rsidR="007B5290">
              <w:rPr>
                <w:rFonts w:ascii="Times New Roman" w:eastAsia="Calibri" w:hAnsi="Times New Roman" w:cs="Times New Roman"/>
              </w:rPr>
              <w:t>МЧП</w:t>
            </w:r>
            <w:r w:rsidRPr="00082B9D">
              <w:rPr>
                <w:rFonts w:ascii="Times New Roman" w:eastAsia="Calibri" w:hAnsi="Times New Roman" w:cs="Times New Roman"/>
              </w:rPr>
              <w:t>, с одновременным предоставлением независим</w:t>
            </w:r>
            <w:r w:rsidR="007B5290">
              <w:rPr>
                <w:rFonts w:ascii="Times New Roman" w:eastAsia="Calibri" w:hAnsi="Times New Roman" w:cs="Times New Roman"/>
              </w:rPr>
              <w:t>ой</w:t>
            </w:r>
            <w:r w:rsidRPr="00082B9D">
              <w:rPr>
                <w:rFonts w:ascii="Times New Roman" w:eastAsia="Calibri" w:hAnsi="Times New Roman" w:cs="Times New Roman"/>
              </w:rPr>
              <w:t xml:space="preserve"> гаранти</w:t>
            </w:r>
            <w:r w:rsidR="007B5290">
              <w:rPr>
                <w:rFonts w:ascii="Times New Roman" w:eastAsia="Calibri" w:hAnsi="Times New Roman" w:cs="Times New Roman"/>
              </w:rPr>
              <w:t>и</w:t>
            </w:r>
            <w:r w:rsidRPr="00082B9D">
              <w:rPr>
                <w:rFonts w:ascii="Times New Roman" w:eastAsia="Calibri" w:hAnsi="Times New Roman" w:cs="Times New Roman"/>
              </w:rPr>
              <w:t xml:space="preserve"> (банковская гарантия) в объеме не менее 5 % объема прогнозируемого финансирования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45222E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082B9D" w:rsidP="000A2AF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Рассмотрение предложения о реализации проекта МЧП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дней</w:t>
            </w:r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082B9D" w:rsidP="007B529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Принятие решения о направлении предложения о реализации проекта </w:t>
            </w:r>
            <w:r w:rsidR="007B5290">
              <w:rPr>
                <w:rFonts w:ascii="Times New Roman" w:eastAsia="Calibri" w:hAnsi="Times New Roman" w:cs="Times New Roman"/>
              </w:rPr>
              <w:t>МЧП</w:t>
            </w:r>
            <w:r w:rsidRPr="00082B9D">
              <w:rPr>
                <w:rFonts w:ascii="Times New Roman" w:eastAsia="Calibri" w:hAnsi="Times New Roman" w:cs="Times New Roman"/>
              </w:rPr>
              <w:t xml:space="preserve"> (далее – решение) в комитет экономической политики и развития Волгоградской области (далее -  уполномоченный орган) в целях оценки эффективности и определения его сравнительного преимущества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082B9D" w:rsidP="00082B9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не позднее 90 дней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с даты обращения</w:t>
            </w:r>
            <w:proofErr w:type="gramEnd"/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Направление предложения в уполномоченный орган для оценки эффективности и определении его сравнительного преимущества;</w:t>
            </w:r>
          </w:p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направление решения, оригиналов протоколов предварительных переговоров (при наличии) инициатору проекта;</w:t>
            </w:r>
          </w:p>
          <w:p w:rsidR="0045222E" w:rsidRPr="00B15A1B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размещение решения, предложения о реализации проекта и протоколов на официальном сайте администрации Волгограда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позднее 10 дней со дня принятия решения</w:t>
            </w:r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Рассмотрение уполномоченным органом предложения в целях оценки его эффективности и определения его сравнительного преимущества принятия решения:</w:t>
            </w:r>
          </w:p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 - проведение переговоров с инициатором, публичным партнером, корректировка условий предложения о МЧП при согласии частного и публичного партнера (в случае необходимости) с оформлением протоколов</w:t>
            </w:r>
          </w:p>
          <w:p w:rsidR="0045222E" w:rsidRPr="00B15A1B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- подготовка заключения об эффективности проекта и его сравнительном преимуществе (положительное заключение)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позднее 90 дней со дня поступления предложения в уполномоченный орган</w:t>
            </w:r>
          </w:p>
        </w:tc>
      </w:tr>
      <w:tr w:rsidR="0045222E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2E" w:rsidRPr="00B15A1B" w:rsidRDefault="00082B9D" w:rsidP="000A2AF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Направление положительного заключения уполномоченного органа главе Волгограда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2E" w:rsidRPr="00B15A1B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не позднее 5 дней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с даты подготовки</w:t>
            </w:r>
            <w:proofErr w:type="gramEnd"/>
            <w:r w:rsidRPr="00082B9D">
              <w:rPr>
                <w:rFonts w:ascii="Times New Roman" w:eastAsia="Calibri" w:hAnsi="Times New Roman" w:cs="Times New Roman"/>
              </w:rPr>
              <w:t xml:space="preserve"> заключения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Принятие решения о реализации проекта МЧП (подготовка и согласование проекта постановления главы Волгограда), которым утверждаются:</w:t>
            </w:r>
          </w:p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- цели и задачи реализации такого проекта,</w:t>
            </w:r>
          </w:p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- публичный партнер;</w:t>
            </w:r>
          </w:p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- существенные условия соглашения.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позднее 60 дней со дня получения положительного заключения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Размещение решения о реализации проекта МЧП на сайте torgi.gov.ru, официальном сайте администрации Волгограда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позднее 10 дней со дня принятия решения о реализации проекта МЧП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Принятие заявлений в письменной форме о намерении участвовать в конкурсе на право заключения соглашения о МЧП с приложением независимой (банковской) гарантии в размере 5 % от объема прогнозируемого финансирования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45 дней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с даты размещения</w:t>
            </w:r>
            <w:proofErr w:type="gramEnd"/>
            <w:r w:rsidRPr="00082B9D">
              <w:rPr>
                <w:rFonts w:ascii="Times New Roman" w:eastAsia="Calibri" w:hAnsi="Times New Roman" w:cs="Times New Roman"/>
              </w:rPr>
              <w:t xml:space="preserve"> решения о реализации проекта МЧП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Организация и проведение конкурсных процедур на право заключения соглашения о МЧП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не более 180 дней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с даты окончания</w:t>
            </w:r>
            <w:proofErr w:type="gramEnd"/>
            <w:r w:rsidRPr="00082B9D">
              <w:rPr>
                <w:rFonts w:ascii="Times New Roman" w:eastAsia="Calibri" w:hAnsi="Times New Roman" w:cs="Times New Roman"/>
              </w:rPr>
              <w:t xml:space="preserve"> сбора заявлений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AF1B17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Размещение сообщения о проведении конкурса на право заключения соглашения о МЧП на сайте torgi.gov.ru, конкурсной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более 5 дней со дня утверждения конкурсной документации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Предоставление заявок на участие в конкурсе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менее 30 дней со дня размещения сообщения о проведении конкурса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512E7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Признание конкурса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  <w:r w:rsidR="00512E78">
              <w:rPr>
                <w:rFonts w:ascii="Times New Roman" w:eastAsia="Calibri" w:hAnsi="Times New Roman" w:cs="Times New Roman"/>
              </w:rPr>
              <w:t xml:space="preserve"> (менее 2х заявок)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позднее чем через 1 день со дня истечения срока предоставления заявок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Вскрытие конверта с заявкой на участие в конкурсе на заседании конкурсной комиссии, ведение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В течение 3 дней со дня принятия решения о признании конкурса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Направление инициатору предложения о представлении предложения о заключении соглашения на условиях, соответствующих конкурсной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 xml:space="preserve">10 дней со дня принятия решения о признании конкурса </w:t>
            </w:r>
            <w:proofErr w:type="gramStart"/>
            <w:r w:rsidRPr="00082B9D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Представление предложения заявителем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более 60 дней со дня получения предложения публичного партнера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Рассмотрение 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Не более 15 дней со дня представления предложения заявителем</w:t>
            </w:r>
          </w:p>
        </w:tc>
      </w:tr>
      <w:tr w:rsidR="00082B9D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B15A1B" w:rsidRDefault="00AF1B17" w:rsidP="00AF1B17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9D" w:rsidRPr="00082B9D" w:rsidRDefault="00082B9D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082B9D">
              <w:rPr>
                <w:rFonts w:ascii="Times New Roman" w:eastAsia="Calibri" w:hAnsi="Times New Roman" w:cs="Times New Roman"/>
              </w:rPr>
              <w:t>Принятие решения о заключении соглашения с заявителем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9D" w:rsidRPr="00082B9D" w:rsidRDefault="00082B9D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082B9D" w:rsidRDefault="00BD6EBA" w:rsidP="00082B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Проведение предварительного отбора участников конкурса, принятие конкурсной комиссией решения о допуске заявителя к участию в конкурсе, ведение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082B9D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*сроки устанавливаются в конкурсной документации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Признание конкурса </w:t>
            </w:r>
            <w:proofErr w:type="gramStart"/>
            <w:r w:rsidRPr="00BD6EBA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D6EBA">
              <w:rPr>
                <w:rFonts w:ascii="Times New Roman" w:eastAsia="Calibri" w:hAnsi="Times New Roman" w:cs="Times New Roman"/>
              </w:rPr>
              <w:t>если менее чем 2 лица признаны участниками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Не позднее чем через 1 день со дня истечения срока предварительного отбора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Направление уведомления участникам конкурса с предложением представить 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В течение 3 дней со дня подписания протокола проведения предварительного отбора, но не </w:t>
            </w:r>
            <w:proofErr w:type="gramStart"/>
            <w:r w:rsidRPr="00BD6EBA">
              <w:rPr>
                <w:rFonts w:ascii="Times New Roman" w:eastAsia="Calibri" w:hAnsi="Times New Roman" w:cs="Times New Roman"/>
              </w:rPr>
              <w:t>позднее</w:t>
            </w:r>
            <w:proofErr w:type="gramEnd"/>
            <w:r w:rsidRPr="00BD6EBA">
              <w:rPr>
                <w:rFonts w:ascii="Times New Roman" w:eastAsia="Calibri" w:hAnsi="Times New Roman" w:cs="Times New Roman"/>
              </w:rPr>
              <w:t xml:space="preserve"> чем за 60 дней до дня истечения срока представления </w:t>
            </w:r>
            <w:proofErr w:type="spellStart"/>
            <w:r w:rsidRPr="00BD6EBA">
              <w:rPr>
                <w:rFonts w:ascii="Times New Roman" w:eastAsia="Calibri" w:hAnsi="Times New Roman" w:cs="Times New Roman"/>
              </w:rPr>
              <w:t>конурсных</w:t>
            </w:r>
            <w:proofErr w:type="spellEnd"/>
            <w:r w:rsidRPr="00BD6EBA">
              <w:rPr>
                <w:rFonts w:ascii="Times New Roman" w:eastAsia="Calibri" w:hAnsi="Times New Roman" w:cs="Times New Roman"/>
              </w:rPr>
              <w:t xml:space="preserve"> предложений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Представление конкурсных предложений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60 дней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Признание конкурса </w:t>
            </w:r>
            <w:proofErr w:type="gramStart"/>
            <w:r w:rsidRPr="00BD6EBA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  <w:r w:rsidRPr="00BD6EBA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Не позднее чем через 1 день со дня истечения срока представления предложений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Принятие решения о заключении соглашения с единственным участником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30 дней со дня принятия  решения о признании конкурса </w:t>
            </w:r>
            <w:proofErr w:type="gramStart"/>
            <w:r w:rsidRPr="00BD6EBA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Вскрытие конвертов с конкурсными предложениями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- Рассмотрение, оценка конкурсных предложений и определение победителя конкурса, </w:t>
            </w:r>
          </w:p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-оформление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В течение 15 дней со дня истечения срока рассмотрения конкурсных предложений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Подписание протокола о </w:t>
            </w:r>
            <w:r>
              <w:rPr>
                <w:rFonts w:ascii="Times New Roman" w:eastAsia="Calibri" w:hAnsi="Times New Roman" w:cs="Times New Roman"/>
              </w:rPr>
              <w:t>результатах проведения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5 дней со дня подписания протокола рассмотрения и оценки конкурсных предложений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Направление протокола о результатах проведения конкурса победителю, включая проект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5 дней со дня подписания протокола</w:t>
            </w:r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AF1B17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AF1B17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BD6EBA" w:rsidRPr="00BD6EBA">
              <w:rPr>
                <w:rFonts w:ascii="Times New Roman" w:eastAsia="Calibri" w:hAnsi="Times New Roman" w:cs="Times New Roman"/>
              </w:rPr>
              <w:t>азмещение сообщения о результатах проведения конкурса на сайте torgi.gov.ru, направление уведомления о результатах проведения конкурса заявителям, участникам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0A2A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15 дней со дня подписания протокола о результатах проведения конкурса или </w:t>
            </w:r>
            <w:r w:rsidRPr="00BD6EBA">
              <w:rPr>
                <w:rFonts w:ascii="Times New Roman" w:eastAsia="Calibri" w:hAnsi="Times New Roman" w:cs="Times New Roman"/>
              </w:rPr>
              <w:lastRenderedPageBreak/>
              <w:t xml:space="preserve">принятия решения об объявлении конкурса </w:t>
            </w:r>
            <w:proofErr w:type="gramStart"/>
            <w:r w:rsidRPr="00BD6EBA">
              <w:rPr>
                <w:rFonts w:ascii="Times New Roman" w:eastAsia="Calibri" w:hAnsi="Times New Roman" w:cs="Times New Roman"/>
              </w:rPr>
              <w:t>несостоявшимся</w:t>
            </w:r>
            <w:proofErr w:type="gramEnd"/>
          </w:p>
        </w:tc>
      </w:tr>
      <w:tr w:rsidR="00BD6EBA" w:rsidRPr="00B15A1B" w:rsidTr="003B2D2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0C5F04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Заключение соглашения о МЧП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BD6EB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 xml:space="preserve">не ранее 10 дней </w:t>
            </w:r>
          </w:p>
          <w:p w:rsidR="00BD6EBA" w:rsidRPr="00BD6EBA" w:rsidRDefault="00BD6EBA" w:rsidP="00BD6EB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с момента размещения итогового протокола о результатах проведения конкурса</w:t>
            </w:r>
          </w:p>
        </w:tc>
      </w:tr>
      <w:tr w:rsidR="00BD6EBA" w:rsidRPr="00B15A1B" w:rsidTr="003B2D2F">
        <w:trPr>
          <w:trHeight w:val="5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Pr="00B15A1B" w:rsidRDefault="000C5F04" w:rsidP="000A2AF6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A" w:rsidRDefault="00BD6EBA" w:rsidP="00BD6EB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Размещение сообщения о заключении соглашения на сайте torgi.gov.ru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A" w:rsidRPr="00BD6EBA" w:rsidRDefault="00BD6EBA" w:rsidP="00BD6EB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D6EBA">
              <w:rPr>
                <w:rFonts w:ascii="Times New Roman" w:eastAsia="Calibri" w:hAnsi="Times New Roman" w:cs="Times New Roman"/>
              </w:rPr>
              <w:t>Срок определяется решением о реализации проекта</w:t>
            </w:r>
          </w:p>
        </w:tc>
      </w:tr>
    </w:tbl>
    <w:p w:rsidR="005B3D7C" w:rsidRDefault="005B3D7C" w:rsidP="005B3D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5CCD" w:rsidRDefault="00FE5CCD" w:rsidP="009B17B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17B4">
        <w:rPr>
          <w:rFonts w:ascii="Times New Roman" w:hAnsi="Times New Roman" w:cs="Times New Roman"/>
          <w:sz w:val="24"/>
          <w:szCs w:val="24"/>
        </w:rPr>
        <w:t xml:space="preserve">Форма предложения о заключении концессионного соглашения с </w:t>
      </w:r>
      <w:proofErr w:type="gramStart"/>
      <w:r w:rsidRPr="009B17B4">
        <w:rPr>
          <w:rFonts w:ascii="Times New Roman" w:hAnsi="Times New Roman" w:cs="Times New Roman"/>
          <w:sz w:val="24"/>
          <w:szCs w:val="24"/>
        </w:rPr>
        <w:t>лицом, выступающим с инициативой заключения концессионного соглашения утверждена</w:t>
      </w:r>
      <w:proofErr w:type="gramEnd"/>
      <w:r w:rsidRPr="009B17B4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31 марта 2015 г. №300.</w:t>
      </w:r>
    </w:p>
    <w:p w:rsidR="00341AE5" w:rsidRPr="009B17B4" w:rsidRDefault="00341AE5" w:rsidP="009B17B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AE5">
        <w:rPr>
          <w:rFonts w:ascii="Times New Roman" w:hAnsi="Times New Roman" w:cs="Times New Roman"/>
          <w:sz w:val="24"/>
          <w:szCs w:val="24"/>
        </w:rPr>
        <w:t xml:space="preserve">Форма предложения о заключении соглашения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 </w:t>
      </w:r>
      <w:r w:rsidRPr="00341AE5">
        <w:rPr>
          <w:rFonts w:ascii="Times New Roman" w:hAnsi="Times New Roman" w:cs="Times New Roman"/>
          <w:sz w:val="24"/>
          <w:szCs w:val="24"/>
        </w:rPr>
        <w:t xml:space="preserve">утверждена Постановлением Правительства РФ от 19.12.2015 </w:t>
      </w:r>
      <w:r w:rsidR="000B5DDD">
        <w:rPr>
          <w:rFonts w:ascii="Times New Roman" w:hAnsi="Times New Roman" w:cs="Times New Roman"/>
          <w:sz w:val="24"/>
          <w:szCs w:val="24"/>
        </w:rPr>
        <w:t>№</w:t>
      </w:r>
      <w:r w:rsidRPr="00341AE5">
        <w:rPr>
          <w:rFonts w:ascii="Times New Roman" w:hAnsi="Times New Roman" w:cs="Times New Roman"/>
          <w:sz w:val="24"/>
          <w:szCs w:val="24"/>
        </w:rPr>
        <w:t>1386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CCD" w:rsidRPr="00FE5CCD" w:rsidRDefault="00FE5CCD" w:rsidP="00FE5CCD">
      <w:pPr>
        <w:rPr>
          <w:sz w:val="24"/>
          <w:szCs w:val="24"/>
        </w:rPr>
      </w:pPr>
    </w:p>
    <w:p w:rsidR="00FE5CCD" w:rsidRPr="00FE5CCD" w:rsidRDefault="00FE5CCD" w:rsidP="00FE5CCD">
      <w:pPr>
        <w:rPr>
          <w:sz w:val="24"/>
          <w:szCs w:val="24"/>
        </w:rPr>
      </w:pPr>
    </w:p>
    <w:p w:rsidR="00FE5CCD" w:rsidRDefault="00FE5CCD" w:rsidP="00FE5CCD">
      <w:pPr>
        <w:rPr>
          <w:sz w:val="24"/>
          <w:szCs w:val="24"/>
        </w:rPr>
      </w:pPr>
    </w:p>
    <w:p w:rsidR="00FE5CCD" w:rsidRPr="00CB79BB" w:rsidRDefault="00FE5CCD" w:rsidP="001D6330">
      <w:pPr>
        <w:rPr>
          <w:sz w:val="24"/>
          <w:szCs w:val="24"/>
        </w:rPr>
      </w:pPr>
    </w:p>
    <w:sectPr w:rsidR="00FE5CCD" w:rsidRPr="00CB79B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BB" w:rsidRDefault="00ED2CBB" w:rsidP="00ED2CBB">
      <w:pPr>
        <w:spacing w:after="0" w:line="240" w:lineRule="auto"/>
      </w:pPr>
      <w:r>
        <w:separator/>
      </w:r>
    </w:p>
  </w:endnote>
  <w:endnote w:type="continuationSeparator" w:id="0">
    <w:p w:rsidR="00ED2CBB" w:rsidRDefault="00ED2CBB" w:rsidP="00E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BB" w:rsidRDefault="00ED2CBB" w:rsidP="00ED2CBB">
      <w:pPr>
        <w:spacing w:after="0" w:line="240" w:lineRule="auto"/>
      </w:pPr>
      <w:r>
        <w:separator/>
      </w:r>
    </w:p>
  </w:footnote>
  <w:footnote w:type="continuationSeparator" w:id="0">
    <w:p w:rsidR="00ED2CBB" w:rsidRDefault="00ED2CBB" w:rsidP="00E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1289930270"/>
      <w:placeholder>
        <w:docPart w:val="F4B60A17D26F4644A83032242ABBA7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2CBB" w:rsidRDefault="00ED2CBB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памятка Инвестору</w:t>
        </w:r>
      </w:p>
    </w:sdtContent>
  </w:sdt>
  <w:p w:rsidR="00ED2CBB" w:rsidRDefault="001D6330" w:rsidP="00AB6C5E">
    <w:pPr>
      <w:pStyle w:val="a3"/>
      <w:jc w:val="cent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>Федеральный закон «О концессионных соглашениях»</w:t>
    </w:r>
    <w:r w:rsidR="00721B49" w:rsidRPr="00721B49">
      <w:t xml:space="preserve"> </w:t>
    </w:r>
    <w:r w:rsidR="00721B49" w:rsidRPr="00721B49">
      <w:rPr>
        <w:rFonts w:asciiTheme="majorHAnsi" w:hAnsiTheme="majorHAnsi" w:cs="Times New Roman"/>
      </w:rPr>
      <w:t>от 21.07.2005 №115-ФЗ</w:t>
    </w:r>
    <w:r w:rsidR="00721B49">
      <w:rPr>
        <w:rFonts w:asciiTheme="majorHAnsi" w:hAnsiTheme="majorHAnsi" w:cs="Times New Roman"/>
      </w:rPr>
      <w:t>,</w:t>
    </w:r>
  </w:p>
  <w:p w:rsidR="00AB6C5E" w:rsidRDefault="00721B49" w:rsidP="00AB6C5E">
    <w:pPr>
      <w:pStyle w:val="a3"/>
      <w:jc w:val="cent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>Федеральный закон «</w:t>
    </w:r>
    <w:r w:rsidRPr="00721B49">
      <w:rPr>
        <w:rFonts w:asciiTheme="majorHAnsi" w:hAnsiTheme="majorHAnsi" w:cs="Times New Roman"/>
      </w:rPr>
      <w:t xml:space="preserve">О государственно-частном партнерстве, муниципально-частном партнерстве </w:t>
    </w:r>
    <w:r w:rsidR="000153FF">
      <w:rPr>
        <w:rFonts w:asciiTheme="majorHAnsi" w:hAnsiTheme="majorHAnsi" w:cs="Times New Roman"/>
      </w:rPr>
      <w:t>…</w:t>
    </w:r>
    <w:r w:rsidRPr="00721B49">
      <w:rPr>
        <w:rFonts w:asciiTheme="majorHAnsi" w:hAnsiTheme="majorHAnsi" w:cs="Times New Roman"/>
      </w:rPr>
      <w:t>» от 29.07.2015 №224-ФЗ</w:t>
    </w:r>
  </w:p>
  <w:p w:rsidR="00F63861" w:rsidRPr="00AB6C5E" w:rsidRDefault="00F63861" w:rsidP="00AB6C5E">
    <w:pPr>
      <w:pStyle w:val="a3"/>
      <w:jc w:val="center"/>
      <w:rPr>
        <w:rFonts w:asciiTheme="majorHAnsi" w:hAnsiTheme="majorHAnsi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6E0"/>
    <w:multiLevelType w:val="hybridMultilevel"/>
    <w:tmpl w:val="87680328"/>
    <w:lvl w:ilvl="0" w:tplc="8CAC204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2D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4A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04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42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C43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40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AF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E9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D315C"/>
    <w:multiLevelType w:val="hybridMultilevel"/>
    <w:tmpl w:val="C332CBBC"/>
    <w:lvl w:ilvl="0" w:tplc="B80E69EA">
      <w:start w:val="1"/>
      <w:numFmt w:val="decimal"/>
      <w:lvlText w:val="%1)"/>
      <w:lvlJc w:val="left"/>
      <w:pPr>
        <w:ind w:left="251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3A150B"/>
    <w:multiLevelType w:val="hybridMultilevel"/>
    <w:tmpl w:val="1BB42320"/>
    <w:lvl w:ilvl="0" w:tplc="D3BEE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2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02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F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EC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C3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C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CF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A3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61090C"/>
    <w:multiLevelType w:val="hybridMultilevel"/>
    <w:tmpl w:val="91A26E14"/>
    <w:lvl w:ilvl="0" w:tplc="796A41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83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25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63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43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24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BE9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C9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6E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14873"/>
    <w:multiLevelType w:val="hybridMultilevel"/>
    <w:tmpl w:val="6F6628A8"/>
    <w:lvl w:ilvl="0" w:tplc="4372B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02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0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05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CF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03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86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E9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B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277BE9"/>
    <w:multiLevelType w:val="multilevel"/>
    <w:tmpl w:val="B49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6C154A"/>
    <w:multiLevelType w:val="hybridMultilevel"/>
    <w:tmpl w:val="CAB651F4"/>
    <w:lvl w:ilvl="0" w:tplc="B80E69E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E9013E"/>
    <w:multiLevelType w:val="hybridMultilevel"/>
    <w:tmpl w:val="ACF49F86"/>
    <w:lvl w:ilvl="0" w:tplc="609829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83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24C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43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2B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E8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8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84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401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E62F3"/>
    <w:multiLevelType w:val="hybridMultilevel"/>
    <w:tmpl w:val="E1703558"/>
    <w:lvl w:ilvl="0" w:tplc="E30E26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029"/>
    <w:multiLevelType w:val="hybridMultilevel"/>
    <w:tmpl w:val="2B5C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9467B"/>
    <w:multiLevelType w:val="hybridMultilevel"/>
    <w:tmpl w:val="0E1A44F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55C2F"/>
    <w:multiLevelType w:val="hybridMultilevel"/>
    <w:tmpl w:val="A5DC5744"/>
    <w:lvl w:ilvl="0" w:tplc="683E81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A3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E6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80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E4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71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BA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A0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4D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A04E3"/>
    <w:multiLevelType w:val="hybridMultilevel"/>
    <w:tmpl w:val="3572B79A"/>
    <w:lvl w:ilvl="0" w:tplc="1FBE0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A1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E5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6B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27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43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A9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AA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815082A"/>
    <w:multiLevelType w:val="hybridMultilevel"/>
    <w:tmpl w:val="8FECBC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7A0ADD"/>
    <w:multiLevelType w:val="hybridMultilevel"/>
    <w:tmpl w:val="0F2A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7673D"/>
    <w:multiLevelType w:val="hybridMultilevel"/>
    <w:tmpl w:val="BFA23F5E"/>
    <w:lvl w:ilvl="0" w:tplc="7C8EC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0D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E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EA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EB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3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8C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C3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2E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DEE72A0"/>
    <w:multiLevelType w:val="hybridMultilevel"/>
    <w:tmpl w:val="5C0C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41895"/>
    <w:multiLevelType w:val="hybridMultilevel"/>
    <w:tmpl w:val="9942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261FE"/>
    <w:multiLevelType w:val="hybridMultilevel"/>
    <w:tmpl w:val="8852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47521"/>
    <w:multiLevelType w:val="hybridMultilevel"/>
    <w:tmpl w:val="A044F0CE"/>
    <w:lvl w:ilvl="0" w:tplc="D5C2F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CC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28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C1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AA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CA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6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9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9EB3A38"/>
    <w:multiLevelType w:val="hybridMultilevel"/>
    <w:tmpl w:val="84262AC0"/>
    <w:lvl w:ilvl="0" w:tplc="764802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2D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EF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86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A5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A4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E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68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AD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8B1D37"/>
    <w:multiLevelType w:val="hybridMultilevel"/>
    <w:tmpl w:val="C074A000"/>
    <w:lvl w:ilvl="0" w:tplc="FBE08B7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0E3C3C"/>
    <w:multiLevelType w:val="multilevel"/>
    <w:tmpl w:val="154C6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080"/>
      </w:pPr>
      <w:rPr>
        <w:rFonts w:hint="default"/>
      </w:rPr>
    </w:lvl>
  </w:abstractNum>
  <w:abstractNum w:abstractNumId="23">
    <w:nsid w:val="76BE18B6"/>
    <w:multiLevelType w:val="hybridMultilevel"/>
    <w:tmpl w:val="C868D7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B1E7106"/>
    <w:multiLevelType w:val="hybridMultilevel"/>
    <w:tmpl w:val="AB50D1C8"/>
    <w:lvl w:ilvl="0" w:tplc="9BB6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82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B451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6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8B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4E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96B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64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E6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4"/>
  </w:num>
  <w:num w:numId="5">
    <w:abstractNumId w:val="20"/>
  </w:num>
  <w:num w:numId="6">
    <w:abstractNumId w:val="2"/>
  </w:num>
  <w:num w:numId="7">
    <w:abstractNumId w:val="11"/>
  </w:num>
  <w:num w:numId="8">
    <w:abstractNumId w:val="12"/>
  </w:num>
  <w:num w:numId="9">
    <w:abstractNumId w:val="3"/>
  </w:num>
  <w:num w:numId="10">
    <w:abstractNumId w:val="19"/>
  </w:num>
  <w:num w:numId="11">
    <w:abstractNumId w:val="0"/>
  </w:num>
  <w:num w:numId="12">
    <w:abstractNumId w:val="15"/>
  </w:num>
  <w:num w:numId="13">
    <w:abstractNumId w:val="7"/>
  </w:num>
  <w:num w:numId="14">
    <w:abstractNumId w:val="6"/>
  </w:num>
  <w:num w:numId="15">
    <w:abstractNumId w:val="1"/>
  </w:num>
  <w:num w:numId="16">
    <w:abstractNumId w:val="10"/>
  </w:num>
  <w:num w:numId="17">
    <w:abstractNumId w:val="17"/>
  </w:num>
  <w:num w:numId="18">
    <w:abstractNumId w:val="18"/>
  </w:num>
  <w:num w:numId="19">
    <w:abstractNumId w:val="16"/>
  </w:num>
  <w:num w:numId="20">
    <w:abstractNumId w:val="14"/>
  </w:num>
  <w:num w:numId="21">
    <w:abstractNumId w:val="5"/>
  </w:num>
  <w:num w:numId="22">
    <w:abstractNumId w:val="22"/>
  </w:num>
  <w:num w:numId="23">
    <w:abstractNumId w:val="21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B2"/>
    <w:rsid w:val="00006797"/>
    <w:rsid w:val="000153FF"/>
    <w:rsid w:val="00033CC2"/>
    <w:rsid w:val="00037DF2"/>
    <w:rsid w:val="00080BEA"/>
    <w:rsid w:val="00082B9D"/>
    <w:rsid w:val="000A382E"/>
    <w:rsid w:val="000A74FA"/>
    <w:rsid w:val="000B5DDD"/>
    <w:rsid w:val="000C5F04"/>
    <w:rsid w:val="00184A22"/>
    <w:rsid w:val="00196D76"/>
    <w:rsid w:val="001A56AF"/>
    <w:rsid w:val="001D6330"/>
    <w:rsid w:val="001E7D5B"/>
    <w:rsid w:val="00204A6D"/>
    <w:rsid w:val="00207427"/>
    <w:rsid w:val="00284BA8"/>
    <w:rsid w:val="003147A2"/>
    <w:rsid w:val="00341AE5"/>
    <w:rsid w:val="003A1984"/>
    <w:rsid w:val="003B2D2F"/>
    <w:rsid w:val="00420FEE"/>
    <w:rsid w:val="004310A8"/>
    <w:rsid w:val="0045222E"/>
    <w:rsid w:val="00453413"/>
    <w:rsid w:val="004B46B2"/>
    <w:rsid w:val="004C3228"/>
    <w:rsid w:val="004D5A62"/>
    <w:rsid w:val="004E0B96"/>
    <w:rsid w:val="00512E78"/>
    <w:rsid w:val="00580665"/>
    <w:rsid w:val="0059180E"/>
    <w:rsid w:val="005B3D7C"/>
    <w:rsid w:val="005D673F"/>
    <w:rsid w:val="0064576C"/>
    <w:rsid w:val="00657C41"/>
    <w:rsid w:val="006B1702"/>
    <w:rsid w:val="006C0EE7"/>
    <w:rsid w:val="006E7DB9"/>
    <w:rsid w:val="006F6FC0"/>
    <w:rsid w:val="00700142"/>
    <w:rsid w:val="00712796"/>
    <w:rsid w:val="00721B49"/>
    <w:rsid w:val="00760D2C"/>
    <w:rsid w:val="007618FE"/>
    <w:rsid w:val="00783DDD"/>
    <w:rsid w:val="007B5290"/>
    <w:rsid w:val="00820776"/>
    <w:rsid w:val="008828E2"/>
    <w:rsid w:val="008933D3"/>
    <w:rsid w:val="00931019"/>
    <w:rsid w:val="00981F4F"/>
    <w:rsid w:val="009B17B4"/>
    <w:rsid w:val="009C68BB"/>
    <w:rsid w:val="009D35BC"/>
    <w:rsid w:val="00A57A23"/>
    <w:rsid w:val="00AB6C5E"/>
    <w:rsid w:val="00AD0CE7"/>
    <w:rsid w:val="00AE7CF0"/>
    <w:rsid w:val="00AF1B17"/>
    <w:rsid w:val="00B15A1B"/>
    <w:rsid w:val="00B53206"/>
    <w:rsid w:val="00B9339B"/>
    <w:rsid w:val="00BA28B6"/>
    <w:rsid w:val="00BD6EBA"/>
    <w:rsid w:val="00C02FD7"/>
    <w:rsid w:val="00C06B1C"/>
    <w:rsid w:val="00CB79BB"/>
    <w:rsid w:val="00CC35CA"/>
    <w:rsid w:val="00CE1DF4"/>
    <w:rsid w:val="00D2476F"/>
    <w:rsid w:val="00D83DD2"/>
    <w:rsid w:val="00E04122"/>
    <w:rsid w:val="00E668E7"/>
    <w:rsid w:val="00E91E8F"/>
    <w:rsid w:val="00ED2CBB"/>
    <w:rsid w:val="00EF27D7"/>
    <w:rsid w:val="00EF7CBE"/>
    <w:rsid w:val="00F4348D"/>
    <w:rsid w:val="00F63861"/>
    <w:rsid w:val="00F72759"/>
    <w:rsid w:val="00F858BF"/>
    <w:rsid w:val="00FB335B"/>
    <w:rsid w:val="00FD4496"/>
    <w:rsid w:val="00FE5CCD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CBB"/>
  </w:style>
  <w:style w:type="paragraph" w:styleId="a5">
    <w:name w:val="footer"/>
    <w:basedOn w:val="a"/>
    <w:link w:val="a6"/>
    <w:uiPriority w:val="99"/>
    <w:unhideWhenUsed/>
    <w:rsid w:val="00ED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CBB"/>
  </w:style>
  <w:style w:type="paragraph" w:styleId="a7">
    <w:name w:val="Balloon Text"/>
    <w:basedOn w:val="a"/>
    <w:link w:val="a8"/>
    <w:uiPriority w:val="99"/>
    <w:semiHidden/>
    <w:unhideWhenUsed/>
    <w:rsid w:val="00ED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C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0D2C"/>
    <w:pPr>
      <w:ind w:left="720"/>
      <w:contextualSpacing/>
    </w:pPr>
  </w:style>
  <w:style w:type="table" w:styleId="aa">
    <w:name w:val="Table Grid"/>
    <w:basedOn w:val="a1"/>
    <w:uiPriority w:val="59"/>
    <w:rsid w:val="00FD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CBB"/>
  </w:style>
  <w:style w:type="paragraph" w:styleId="a5">
    <w:name w:val="footer"/>
    <w:basedOn w:val="a"/>
    <w:link w:val="a6"/>
    <w:uiPriority w:val="99"/>
    <w:unhideWhenUsed/>
    <w:rsid w:val="00ED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CBB"/>
  </w:style>
  <w:style w:type="paragraph" w:styleId="a7">
    <w:name w:val="Balloon Text"/>
    <w:basedOn w:val="a"/>
    <w:link w:val="a8"/>
    <w:uiPriority w:val="99"/>
    <w:semiHidden/>
    <w:unhideWhenUsed/>
    <w:rsid w:val="00ED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C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0D2C"/>
    <w:pPr>
      <w:ind w:left="720"/>
      <w:contextualSpacing/>
    </w:pPr>
  </w:style>
  <w:style w:type="table" w:styleId="aa">
    <w:name w:val="Table Grid"/>
    <w:basedOn w:val="a1"/>
    <w:uiPriority w:val="59"/>
    <w:rsid w:val="00FD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50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B60A17D26F4644A83032242ABBA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0CD53-BDDB-4AC3-B184-21D347BAFC0F}"/>
      </w:docPartPr>
      <w:docPartBody>
        <w:p w:rsidR="00831B6C" w:rsidRDefault="00312905" w:rsidP="00312905">
          <w:pPr>
            <w:pStyle w:val="F4B60A17D26F4644A83032242ABBA7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05"/>
    <w:rsid w:val="00312905"/>
    <w:rsid w:val="0083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B60A17D26F4644A83032242ABBA785">
    <w:name w:val="F4B60A17D26F4644A83032242ABBA785"/>
    <w:rsid w:val="00312905"/>
  </w:style>
  <w:style w:type="paragraph" w:customStyle="1" w:styleId="06B3C4898B64444B8174010C671133F9">
    <w:name w:val="06B3C4898B64444B8174010C671133F9"/>
    <w:rsid w:val="00831B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B60A17D26F4644A83032242ABBA785">
    <w:name w:val="F4B60A17D26F4644A83032242ABBA785"/>
    <w:rsid w:val="00312905"/>
  </w:style>
  <w:style w:type="paragraph" w:customStyle="1" w:styleId="06B3C4898B64444B8174010C671133F9">
    <w:name w:val="06B3C4898B64444B8174010C671133F9"/>
    <w:rsid w:val="00831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8E01-C977-4578-A8D6-0D61DEA0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Инвестору</vt:lpstr>
    </vt:vector>
  </TitlesOfParts>
  <Company/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Инвестору</dc:title>
  <dc:creator>Гамова Елизавета Александровна</dc:creator>
  <cp:lastModifiedBy>Гамова Елизавета Александровна</cp:lastModifiedBy>
  <cp:revision>63</cp:revision>
  <dcterms:created xsi:type="dcterms:W3CDTF">2020-02-11T13:21:00Z</dcterms:created>
  <dcterms:modified xsi:type="dcterms:W3CDTF">2020-03-13T11:54:00Z</dcterms:modified>
</cp:coreProperties>
</file>